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A0" w:rsidRDefault="00FF0A0E" w:rsidP="00E31192">
      <w:pPr>
        <w:autoSpaceDE w:val="0"/>
        <w:autoSpaceDN w:val="0"/>
        <w:adjustRightInd w:val="0"/>
        <w:spacing w:after="0" w:line="240" w:lineRule="auto"/>
        <w:jc w:val="center"/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</w:pPr>
      <w:r w:rsidRPr="00E31192"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  <w:t>2017</w:t>
      </w:r>
      <w:r w:rsidR="00E31192"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  <w:t xml:space="preserve"> </w:t>
      </w:r>
      <w:r w:rsidRPr="00E31192"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  <w:t xml:space="preserve">Centers for Disease Control and Prevention Guideline for the Prevention of </w:t>
      </w:r>
    </w:p>
    <w:p w:rsidR="00FF0A0E" w:rsidRPr="00E31192" w:rsidRDefault="00FF0A0E" w:rsidP="00E31192">
      <w:pPr>
        <w:autoSpaceDE w:val="0"/>
        <w:autoSpaceDN w:val="0"/>
        <w:adjustRightInd w:val="0"/>
        <w:spacing w:after="0" w:line="240" w:lineRule="auto"/>
        <w:jc w:val="center"/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</w:pPr>
      <w:r w:rsidRPr="00E31192"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  <w:t>Surgical Site Infection</w:t>
      </w:r>
    </w:p>
    <w:p w:rsidR="006E771F" w:rsidRDefault="00E31192" w:rsidP="00E31192">
      <w:pPr>
        <w:autoSpaceDE w:val="0"/>
        <w:autoSpaceDN w:val="0"/>
        <w:adjustRightInd w:val="0"/>
        <w:spacing w:after="0" w:line="240" w:lineRule="auto"/>
        <w:jc w:val="center"/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</w:pPr>
      <w:r w:rsidRPr="00E31192"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  <w:t>Summary</w:t>
      </w:r>
    </w:p>
    <w:p w:rsidR="00E31192" w:rsidRDefault="00E31192" w:rsidP="00E31192">
      <w:pPr>
        <w:autoSpaceDE w:val="0"/>
        <w:autoSpaceDN w:val="0"/>
        <w:adjustRightInd w:val="0"/>
        <w:spacing w:after="0" w:line="240" w:lineRule="auto"/>
        <w:jc w:val="center"/>
        <w:rPr>
          <w:rFonts w:ascii="GuardianEgypGR-Regular" w:hAnsi="GuardianEgypGR-Regular" w:cs="GuardianEgypGR-Regular"/>
          <w:color w:val="2E74B5" w:themeColor="accent1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2065"/>
      </w:tblGrid>
      <w:tr w:rsidR="00274360" w:rsidRPr="00C20E53" w:rsidTr="00263DD0">
        <w:tc>
          <w:tcPr>
            <w:tcW w:w="9350" w:type="dxa"/>
            <w:gridSpan w:val="3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Category IA: A strong recommendation supported by high to moderate–quality evidence suggesting net clinical benefits or harms.</w:t>
            </w:r>
          </w:p>
        </w:tc>
      </w:tr>
      <w:tr w:rsidR="00274360" w:rsidRPr="00C20E53" w:rsidTr="00647C0A">
        <w:tc>
          <w:tcPr>
            <w:tcW w:w="5305" w:type="dxa"/>
          </w:tcPr>
          <w:p w:rsidR="00274360" w:rsidRPr="00C20E53" w:rsidRDefault="00221781" w:rsidP="00C20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980" w:type="dxa"/>
          </w:tcPr>
          <w:p w:rsidR="00274360" w:rsidRPr="00C20E53" w:rsidRDefault="00221781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Validated In Place</w:t>
            </w:r>
          </w:p>
        </w:tc>
        <w:tc>
          <w:tcPr>
            <w:tcW w:w="2065" w:type="dxa"/>
          </w:tcPr>
          <w:p w:rsidR="00274360" w:rsidRPr="00C20E53" w:rsidRDefault="00221781" w:rsidP="00C20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Working Towards having in Place</w:t>
            </w:r>
          </w:p>
        </w:tc>
      </w:tr>
      <w:tr w:rsidR="00221781" w:rsidRPr="00C20E53" w:rsidTr="00647C0A">
        <w:tc>
          <w:tcPr>
            <w:tcW w:w="5305" w:type="dxa"/>
          </w:tcPr>
          <w:p w:rsidR="00221781" w:rsidRDefault="00221781" w:rsidP="0022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Administer the appropriate parent</w:t>
            </w:r>
            <w:r w:rsidR="00C20E53">
              <w:rPr>
                <w:rFonts w:ascii="Times New Roman" w:hAnsi="Times New Roman" w:cs="Times New Roman"/>
                <w:sz w:val="24"/>
                <w:szCs w:val="24"/>
              </w:rPr>
              <w:t xml:space="preserve">eral prophylactic antimicrobial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agents before skin incision in all cesarean section procedures.</w:t>
            </w:r>
          </w:p>
          <w:p w:rsidR="00AB0B2A" w:rsidRPr="00AB0B2A" w:rsidRDefault="008A58CC" w:rsidP="00AB0B2A">
            <w:pPr>
              <w:autoSpaceDE w:val="0"/>
              <w:autoSpaceDN w:val="0"/>
              <w:adjustRightInd w:val="0"/>
              <w:rPr>
                <w:rFonts w:ascii="CenturyOldStyle-Regular" w:hAnsi="CenturyOldStyle-Regular" w:cs="CenturyOldStyle-Regular"/>
                <w:sz w:val="18"/>
                <w:szCs w:val="18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AB0B2A" w:rsidRPr="00AB0B2A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Change from </w:t>
            </w:r>
            <w:r w:rsidR="00AB0B2A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form high-risk cesarean section, administer the prophylactic antimicrobial agent immediately after the umbilical cord is clamped. </w:t>
            </w:r>
            <w:r w:rsidR="00AB0B2A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>Category IA</w:t>
            </w:r>
          </w:p>
        </w:tc>
        <w:tc>
          <w:tcPr>
            <w:tcW w:w="1980" w:type="dxa"/>
          </w:tcPr>
          <w:p w:rsidR="00221781" w:rsidRPr="00C20E53" w:rsidRDefault="00221781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221781" w:rsidRPr="00C20E53" w:rsidRDefault="00221781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274360" w:rsidRPr="00C20E53" w:rsidTr="00647C0A">
        <w:tc>
          <w:tcPr>
            <w:tcW w:w="5305" w:type="dxa"/>
          </w:tcPr>
          <w:p w:rsidR="00274360" w:rsidRDefault="00C20E53" w:rsidP="00023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clean and clean </w:t>
            </w:r>
            <w:r w:rsidR="000232A1" w:rsidRPr="00C20E53">
              <w:rPr>
                <w:rFonts w:ascii="Times New Roman" w:hAnsi="Times New Roman" w:cs="Times New Roman"/>
                <w:sz w:val="24"/>
                <w:szCs w:val="24"/>
              </w:rPr>
              <w:t>contaminate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d procedures, do not administer </w:t>
            </w:r>
            <w:r w:rsidR="000232A1" w:rsidRPr="00C20E53">
              <w:rPr>
                <w:rFonts w:ascii="Times New Roman" w:hAnsi="Times New Roman" w:cs="Times New Roman"/>
                <w:sz w:val="24"/>
                <w:szCs w:val="24"/>
              </w:rPr>
              <w:t>additional prophylactic antimicrobial agent doses after the surgic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0232A1" w:rsidRPr="00C20E53">
              <w:rPr>
                <w:rFonts w:ascii="Times New Roman" w:hAnsi="Times New Roman" w:cs="Times New Roman"/>
                <w:sz w:val="24"/>
                <w:szCs w:val="24"/>
              </w:rPr>
              <w:t>incision is closed in the operatin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g room, even in the presence of </w:t>
            </w:r>
            <w:r w:rsidR="000232A1" w:rsidRPr="00C20E53">
              <w:rPr>
                <w:rFonts w:ascii="Times New Roman" w:hAnsi="Times New Roman" w:cs="Times New Roman"/>
                <w:sz w:val="24"/>
                <w:szCs w:val="24"/>
              </w:rPr>
              <w:t>a drain.</w:t>
            </w:r>
          </w:p>
          <w:p w:rsidR="004E7545" w:rsidRPr="006B4B3B" w:rsidRDefault="0062264B" w:rsidP="006B4B3B">
            <w:pPr>
              <w:autoSpaceDE w:val="0"/>
              <w:autoSpaceDN w:val="0"/>
              <w:adjustRightInd w:val="0"/>
              <w:rPr>
                <w:rFonts w:ascii="CenturyOldStyle-Regular" w:hAnsi="CenturyOldStyle-Regular" w:cs="CenturyOldStyle-Regular"/>
                <w:sz w:val="18"/>
                <w:szCs w:val="18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4E7545" w:rsidRPr="006B4B3B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Change from </w:t>
            </w:r>
            <w:r w:rsidR="006B4B3B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maintain </w:t>
            </w:r>
            <w:r w:rsidR="004E7545">
              <w:rPr>
                <w:rFonts w:ascii="CenturyOldStyle-Regular" w:hAnsi="CenturyOldStyle-Regular" w:cs="CenturyOldStyle-Regular"/>
                <w:sz w:val="18"/>
                <w:szCs w:val="18"/>
              </w:rPr>
              <w:t>therapeutic levels of</w:t>
            </w:r>
            <w:r w:rsidR="006B4B3B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 the agent in serum and tissues </w:t>
            </w:r>
            <w:r w:rsidR="004E7545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throughout the operation </w:t>
            </w:r>
            <w:r w:rsidR="006B4B3B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and until, at most, a few hours </w:t>
            </w:r>
            <w:r w:rsidR="004E7545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after the incision is closed in the operating room. </w:t>
            </w:r>
            <w:r w:rsidR="004E7545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>Category IA</w:t>
            </w:r>
          </w:p>
        </w:tc>
        <w:tc>
          <w:tcPr>
            <w:tcW w:w="1980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274360" w:rsidRPr="00C20E53" w:rsidTr="00647C0A">
        <w:tc>
          <w:tcPr>
            <w:tcW w:w="5305" w:type="dxa"/>
          </w:tcPr>
          <w:p w:rsidR="00274360" w:rsidRDefault="003434A9" w:rsidP="00343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Implement perioperative glycemi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c control and use blood glucose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target levels less than 200 mg/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dL in patients with and without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diabetes.</w:t>
            </w:r>
          </w:p>
          <w:p w:rsidR="00FD71A0" w:rsidRPr="00D93FF7" w:rsidRDefault="0062264B" w:rsidP="00FD71A0">
            <w:pPr>
              <w:autoSpaceDE w:val="0"/>
              <w:autoSpaceDN w:val="0"/>
              <w:adjustRightInd w:val="0"/>
              <w:rPr>
                <w:rFonts w:ascii="CenturyOldStyle-Regular" w:hAnsi="CenturyOldStyle-Regular" w:cs="CenturyOldStyle-Regular"/>
                <w:sz w:val="18"/>
                <w:szCs w:val="18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FD71A0" w:rsidRPr="00D93FF7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Change from </w:t>
            </w:r>
            <w:r w:rsidR="00D93FF7">
              <w:rPr>
                <w:rFonts w:ascii="CenturyOldStyle-Regular" w:hAnsi="CenturyOldStyle-Regular" w:cs="CenturyOldStyle-Regular"/>
                <w:sz w:val="18"/>
                <w:szCs w:val="18"/>
              </w:rPr>
              <w:t>a</w:t>
            </w:r>
            <w:r w:rsidR="00FD71A0">
              <w:rPr>
                <w:rFonts w:ascii="CenturyOldStyle-Regular" w:hAnsi="CenturyOldStyle-Regular" w:cs="CenturyOldStyle-Regular"/>
                <w:sz w:val="18"/>
                <w:szCs w:val="18"/>
              </w:rPr>
              <w:t>dequately contro</w:t>
            </w:r>
            <w:r w:rsidR="00D93FF7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l serum blood glucose levels in </w:t>
            </w:r>
            <w:r w:rsidR="00FD71A0">
              <w:rPr>
                <w:rFonts w:ascii="CenturyOldStyle-Regular" w:hAnsi="CenturyOldStyle-Regular" w:cs="CenturyOldStyle-Regular"/>
                <w:sz w:val="18"/>
                <w:szCs w:val="18"/>
              </w:rPr>
              <w:t>all diabetic patients and p</w:t>
            </w:r>
            <w:r w:rsidR="00D93FF7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articularly avoid hyperglycemia </w:t>
            </w:r>
            <w:r w:rsidR="00FD71A0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perioperatively. </w:t>
            </w:r>
            <w:r w:rsidR="00FD71A0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 xml:space="preserve">Category </w:t>
            </w:r>
            <w:proofErr w:type="spellStart"/>
            <w:r w:rsidR="00FD71A0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980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274360" w:rsidRPr="00C20E53" w:rsidTr="00647C0A">
        <w:tc>
          <w:tcPr>
            <w:tcW w:w="5305" w:type="dxa"/>
          </w:tcPr>
          <w:p w:rsidR="00274360" w:rsidRDefault="00134B80" w:rsidP="008E1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Maintain perioperative normothermia.</w:t>
            </w:r>
          </w:p>
          <w:p w:rsidR="006F599D" w:rsidRPr="00C20E53" w:rsidRDefault="0062264B" w:rsidP="008E1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6F599D" w:rsidRPr="006F599D">
              <w:rPr>
                <w:rFonts w:ascii="CenturyOldStyle-Regular" w:hAnsi="CenturyOldStyle-Regular" w:cs="CenturyOldStyle-Regular"/>
                <w:sz w:val="18"/>
                <w:szCs w:val="18"/>
              </w:rPr>
              <w:t>Not previously addressed.</w:t>
            </w:r>
          </w:p>
        </w:tc>
        <w:tc>
          <w:tcPr>
            <w:tcW w:w="1980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274360" w:rsidRPr="00C20E53" w:rsidTr="00647C0A">
        <w:tc>
          <w:tcPr>
            <w:tcW w:w="5305" w:type="dxa"/>
          </w:tcPr>
          <w:p w:rsidR="00274360" w:rsidRDefault="00134B80" w:rsidP="0013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For patients with normal pulmon</w:t>
            </w:r>
            <w:r w:rsidR="00647C0A">
              <w:rPr>
                <w:rFonts w:ascii="Times New Roman" w:hAnsi="Times New Roman" w:cs="Times New Roman"/>
                <w:sz w:val="24"/>
                <w:szCs w:val="24"/>
              </w:rPr>
              <w:t xml:space="preserve">ary function undergoing general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anesthesia with endotracheal i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ntubation, administer increased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FIO2 during surgery and af</w:t>
            </w:r>
            <w:r w:rsidR="004C6B13">
              <w:rPr>
                <w:rFonts w:ascii="Times New Roman" w:hAnsi="Times New Roman" w:cs="Times New Roman"/>
                <w:sz w:val="24"/>
                <w:szCs w:val="24"/>
              </w:rPr>
              <w:t xml:space="preserve">ter extubation in the immediate postoperative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period. To optimize tissue oxygen d</w:t>
            </w:r>
            <w:r w:rsidR="00647C0A">
              <w:rPr>
                <w:rFonts w:ascii="Times New Roman" w:hAnsi="Times New Roman" w:cs="Times New Roman"/>
                <w:sz w:val="24"/>
                <w:szCs w:val="24"/>
              </w:rPr>
              <w:t xml:space="preserve">elivery, maintain perioperative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normothermia and adequate volume replacement.</w:t>
            </w:r>
          </w:p>
          <w:p w:rsidR="00BF7038" w:rsidRPr="00BF7038" w:rsidRDefault="0062264B" w:rsidP="00BF7038">
            <w:pPr>
              <w:autoSpaceDE w:val="0"/>
              <w:autoSpaceDN w:val="0"/>
              <w:adjustRightInd w:val="0"/>
              <w:rPr>
                <w:rFonts w:ascii="CenturyOldStyle-Regular" w:hAnsi="CenturyOldStyle-Regular" w:cs="CenturyOldStyle-Regular"/>
                <w:sz w:val="18"/>
                <w:szCs w:val="18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BF7038" w:rsidRPr="00BF7038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Change from </w:t>
            </w:r>
            <w:r w:rsidR="00BF7038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no recommendation to provide measures that enhance wound space oxygenation to prevent SSI. </w:t>
            </w:r>
            <w:r w:rsidR="00BF7038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>Unresolved issue</w:t>
            </w:r>
          </w:p>
        </w:tc>
        <w:tc>
          <w:tcPr>
            <w:tcW w:w="1980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274360" w:rsidRPr="00C20E53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134B80" w:rsidRPr="00C20E53" w:rsidTr="00FB0275">
        <w:trPr>
          <w:trHeight w:val="1799"/>
        </w:trPr>
        <w:tc>
          <w:tcPr>
            <w:tcW w:w="5305" w:type="dxa"/>
          </w:tcPr>
          <w:p w:rsidR="00134B80" w:rsidRDefault="00B8540A" w:rsidP="00B8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Perform intraoperative skin pr</w:t>
            </w:r>
            <w:r w:rsidR="00647C0A">
              <w:rPr>
                <w:rFonts w:ascii="Times New Roman" w:hAnsi="Times New Roman" w:cs="Times New Roman"/>
                <w:sz w:val="24"/>
                <w:szCs w:val="24"/>
              </w:rPr>
              <w:t xml:space="preserve">eparation with an alcohol-based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antiseptic agent unless contraindicated.</w:t>
            </w:r>
          </w:p>
          <w:p w:rsidR="007512E3" w:rsidRPr="007512E3" w:rsidRDefault="0062264B" w:rsidP="007512E3">
            <w:pPr>
              <w:autoSpaceDE w:val="0"/>
              <w:autoSpaceDN w:val="0"/>
              <w:adjustRightInd w:val="0"/>
              <w:rPr>
                <w:rFonts w:ascii="CenturyOldStyle-Regular" w:hAnsi="CenturyOldStyle-Regular" w:cs="CenturyOldStyle-Regular"/>
                <w:sz w:val="18"/>
                <w:szCs w:val="18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7512E3" w:rsidRPr="007512E3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Change from </w:t>
            </w:r>
            <w:r w:rsidR="007512E3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use an appropriate antiseptic agent for skin preparation (Table 6). </w:t>
            </w:r>
            <w:r w:rsidR="007512E3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 xml:space="preserve">Category </w:t>
            </w:r>
            <w:proofErr w:type="spellStart"/>
            <w:r w:rsidR="007512E3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1980" w:type="dxa"/>
          </w:tcPr>
          <w:p w:rsidR="00134B80" w:rsidRPr="00C20E53" w:rsidRDefault="00134B8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134B80" w:rsidRPr="00C20E53" w:rsidRDefault="00134B8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FB0275" w:rsidRPr="00C20E53" w:rsidTr="00DD0AD6">
        <w:tc>
          <w:tcPr>
            <w:tcW w:w="9350" w:type="dxa"/>
            <w:gridSpan w:val="3"/>
          </w:tcPr>
          <w:p w:rsidR="00FB0275" w:rsidRPr="00C20E53" w:rsidRDefault="00FB0275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Category IA: A strong recommendation supported by high to moderate–quality evidence suggesting net clinical benefits or harms.</w:t>
            </w:r>
          </w:p>
        </w:tc>
      </w:tr>
      <w:tr w:rsidR="00FB0275" w:rsidRPr="00C20E53" w:rsidTr="00647C0A">
        <w:tc>
          <w:tcPr>
            <w:tcW w:w="5305" w:type="dxa"/>
          </w:tcPr>
          <w:p w:rsidR="00FB0275" w:rsidRPr="00C20E53" w:rsidRDefault="00FB0275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980" w:type="dxa"/>
          </w:tcPr>
          <w:p w:rsidR="00FB0275" w:rsidRPr="00C20E53" w:rsidRDefault="00FB0275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Validated In Place</w:t>
            </w:r>
          </w:p>
        </w:tc>
        <w:tc>
          <w:tcPr>
            <w:tcW w:w="2065" w:type="dxa"/>
          </w:tcPr>
          <w:p w:rsidR="00FB0275" w:rsidRPr="00C20E53" w:rsidRDefault="00FB0275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Working Towards having in Place</w:t>
            </w:r>
          </w:p>
        </w:tc>
      </w:tr>
      <w:tr w:rsidR="00FB0275" w:rsidRPr="00C20E53" w:rsidTr="00647C0A">
        <w:tc>
          <w:tcPr>
            <w:tcW w:w="5305" w:type="dxa"/>
          </w:tcPr>
          <w:p w:rsidR="00FB0275" w:rsidRDefault="00FB0275" w:rsidP="00FB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In prosthetic joint arthroplasty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clean and clean-contaminated procedures,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not administer additional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antimicrobial prophylaxis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 after the surgical incision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 xml:space="preserve">is closed in the operating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room, even in the presence of a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drain.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275" w:rsidRPr="00C20E53" w:rsidRDefault="0062264B" w:rsidP="00FB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FB0275" w:rsidRPr="004728BE">
              <w:rPr>
                <w:rFonts w:ascii="CenturyOldStyle-Regular" w:hAnsi="CenturyOldStyle-Regular" w:cs="CenturyOldStyle-Regular"/>
                <w:sz w:val="18"/>
                <w:szCs w:val="18"/>
              </w:rPr>
              <w:t>Change from maintain therapeutic levels of the agent in serum and tissues throughout the operation and until, at most, a few hours after the incision is closed in the operating room. Category IA</w:t>
            </w:r>
          </w:p>
        </w:tc>
        <w:tc>
          <w:tcPr>
            <w:tcW w:w="1980" w:type="dxa"/>
          </w:tcPr>
          <w:p w:rsidR="00FB0275" w:rsidRPr="00C20E53" w:rsidRDefault="00FB0275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065" w:type="dxa"/>
          </w:tcPr>
          <w:p w:rsidR="00FB0275" w:rsidRPr="00C20E53" w:rsidRDefault="00FB0275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FB0275" w:rsidRPr="00C20E53" w:rsidTr="00743BDA">
        <w:trPr>
          <w:trHeight w:val="2285"/>
        </w:trPr>
        <w:tc>
          <w:tcPr>
            <w:tcW w:w="9350" w:type="dxa"/>
            <w:gridSpan w:val="3"/>
          </w:tcPr>
          <w:p w:rsidR="00FB0275" w:rsidRPr="00743BDA" w:rsidRDefault="00FB0275" w:rsidP="00FB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4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Comments: </w:t>
            </w:r>
          </w:p>
        </w:tc>
      </w:tr>
    </w:tbl>
    <w:p w:rsidR="001B170F" w:rsidRDefault="001B17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2065"/>
      </w:tblGrid>
      <w:tr w:rsidR="00274360" w:rsidRPr="00C20E53" w:rsidTr="00045BC9">
        <w:tc>
          <w:tcPr>
            <w:tcW w:w="9350" w:type="dxa"/>
            <w:gridSpan w:val="3"/>
          </w:tcPr>
          <w:p w:rsidR="00274360" w:rsidRPr="00344812" w:rsidRDefault="00274360" w:rsidP="00E31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344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Category </w:t>
            </w:r>
            <w:proofErr w:type="spellStart"/>
            <w:r w:rsidRPr="00344812">
              <w:rPr>
                <w:rFonts w:ascii="Times New Roman" w:hAnsi="Times New Roman" w:cs="Times New Roman"/>
                <w:b/>
                <w:sz w:val="24"/>
                <w:szCs w:val="24"/>
              </w:rPr>
              <w:t>IB</w:t>
            </w:r>
            <w:proofErr w:type="spellEnd"/>
            <w:r w:rsidRPr="00344812">
              <w:rPr>
                <w:rFonts w:ascii="Times New Roman" w:hAnsi="Times New Roman" w:cs="Times New Roman"/>
                <w:b/>
                <w:sz w:val="24"/>
                <w:szCs w:val="24"/>
              </w:rPr>
              <w:t>: A strong recommendation supported by low-quality evidence suggesting net clinical benefits or harms or an accepted practice supported by low to very low–quality evidence.</w:t>
            </w:r>
          </w:p>
        </w:tc>
      </w:tr>
      <w:tr w:rsidR="00743BDA" w:rsidRPr="00C20E53" w:rsidTr="00647C0A">
        <w:tc>
          <w:tcPr>
            <w:tcW w:w="5305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980" w:type="dxa"/>
          </w:tcPr>
          <w:p w:rsidR="00743BDA" w:rsidRPr="00C20E53" w:rsidRDefault="00743BDA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Validated In Place</w:t>
            </w:r>
          </w:p>
        </w:tc>
        <w:tc>
          <w:tcPr>
            <w:tcW w:w="2065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Working Towards having in Place</w:t>
            </w:r>
          </w:p>
        </w:tc>
      </w:tr>
      <w:tr w:rsidR="00743BDA" w:rsidRPr="00C20E53" w:rsidTr="00647C0A">
        <w:tc>
          <w:tcPr>
            <w:tcW w:w="5305" w:type="dxa"/>
          </w:tcPr>
          <w:p w:rsidR="00743BDA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Administer preoperative antimicro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>bial agents only when indicated b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ased on published clinical pra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ctice guidelines and timed such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that a bactericidal concentration of t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he agents is established in the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serum and tissues when the incision is made.</w:t>
            </w:r>
          </w:p>
          <w:p w:rsidR="00016EE8" w:rsidRPr="00016EE8" w:rsidRDefault="0062264B" w:rsidP="00016EE8">
            <w:pPr>
              <w:autoSpaceDE w:val="0"/>
              <w:autoSpaceDN w:val="0"/>
              <w:adjustRightInd w:val="0"/>
              <w:rPr>
                <w:rFonts w:ascii="CenturyOldStyle-Regular" w:hAnsi="CenturyOldStyle-Regular" w:cs="CenturyOldStyle-Regular"/>
                <w:sz w:val="18"/>
                <w:szCs w:val="18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016EE8" w:rsidRPr="00016EE8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Change from </w:t>
            </w:r>
            <w:r w:rsidR="00016EE8">
              <w:rPr>
                <w:rFonts w:ascii="CenturyOldStyle-Regular" w:hAnsi="CenturyOldStyle-Regular" w:cs="CenturyOldStyle-Regular"/>
                <w:sz w:val="18"/>
                <w:szCs w:val="18"/>
              </w:rPr>
              <w:t>administer a prophyl</w:t>
            </w:r>
            <w:r w:rsidR="007E4BB5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actic antimicrobial agent only </w:t>
            </w:r>
            <w:r w:rsidR="00016EE8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when indicated, and select it based on its efficacy against the most common pathogens causing SSI for a specific operation (Table 4) and published recommendations. </w:t>
            </w:r>
            <w:r w:rsidR="00016EE8">
              <w:rPr>
                <w:rFonts w:ascii="CenturyOldStyle-Italic" w:hAnsi="CenturyOldStyle-Italic" w:cs="CenturyOldStyle-Italic"/>
                <w:i/>
                <w:iCs/>
                <w:sz w:val="18"/>
                <w:szCs w:val="18"/>
              </w:rPr>
              <w:t>Category IA</w:t>
            </w:r>
          </w:p>
        </w:tc>
        <w:tc>
          <w:tcPr>
            <w:tcW w:w="1980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743BDA" w:rsidRPr="00C20E53" w:rsidTr="00647C0A">
        <w:tc>
          <w:tcPr>
            <w:tcW w:w="5305" w:type="dxa"/>
          </w:tcPr>
          <w:p w:rsidR="00016EE8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Do not apply antimicrobial agent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s (i.e., ointments, solutions, or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powders) to the surgical incision for the prevention of SSI.</w:t>
            </w:r>
          </w:p>
          <w:p w:rsidR="00BC7491" w:rsidRPr="00C20E53" w:rsidRDefault="0062264B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BC7491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  <w:r w:rsidR="00BC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743BDA" w:rsidRPr="00C20E53" w:rsidTr="00647C0A">
        <w:tc>
          <w:tcPr>
            <w:tcW w:w="5305" w:type="dxa"/>
          </w:tcPr>
          <w:p w:rsidR="00743BDA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Advise patients to shower or bathe (full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 body) with soap (antimicrobial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or nonantimicrobial) or an antiseptic agent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 at least the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night before the operative day.</w:t>
            </w:r>
          </w:p>
          <w:p w:rsidR="00BC7491" w:rsidRPr="00C20E53" w:rsidRDefault="0062264B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BC7491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</w:p>
        </w:tc>
        <w:tc>
          <w:tcPr>
            <w:tcW w:w="1980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743BDA" w:rsidRPr="00C20E53" w:rsidTr="00647C0A">
        <w:tc>
          <w:tcPr>
            <w:tcW w:w="5305" w:type="dxa"/>
          </w:tcPr>
          <w:p w:rsidR="00743BDA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Do not withhold transfusion of necessary blood products</w:t>
            </w:r>
            <w:r w:rsidR="0092218F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surgical patients as a means to prevent SSI.</w:t>
            </w:r>
          </w:p>
          <w:p w:rsidR="00BC7491" w:rsidRPr="00C20E53" w:rsidRDefault="0062264B" w:rsidP="001B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BC7491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 xml:space="preserve">No </w:t>
            </w:r>
            <w:r w:rsidR="001B170F">
              <w:rPr>
                <w:rFonts w:ascii="CenturyOldStyle-Regular" w:hAnsi="CenturyOldStyle-Regular" w:cs="CenturyOldStyle-Regular"/>
                <w:sz w:val="18"/>
                <w:szCs w:val="18"/>
              </w:rPr>
              <w:t>change.</w:t>
            </w:r>
          </w:p>
        </w:tc>
        <w:tc>
          <w:tcPr>
            <w:tcW w:w="1980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43BDA" w:rsidRPr="00C20E53" w:rsidRDefault="00743BDA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92218F" w:rsidRPr="00C20E53" w:rsidTr="005674D5">
        <w:tc>
          <w:tcPr>
            <w:tcW w:w="9350" w:type="dxa"/>
            <w:gridSpan w:val="3"/>
          </w:tcPr>
          <w:p w:rsidR="0092218F" w:rsidRDefault="0092218F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Comments: </w:t>
            </w:r>
          </w:p>
          <w:p w:rsidR="00344812" w:rsidRDefault="00344812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12" w:rsidRDefault="00344812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12" w:rsidRDefault="00344812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12" w:rsidRDefault="00344812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12" w:rsidRDefault="00344812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812" w:rsidRPr="0092218F" w:rsidRDefault="00344812" w:rsidP="0092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344812" w:rsidRDefault="003448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1335"/>
        <w:gridCol w:w="1530"/>
        <w:gridCol w:w="1525"/>
      </w:tblGrid>
      <w:tr w:rsidR="00743BDA" w:rsidRPr="00C20E53" w:rsidTr="002C3317">
        <w:tc>
          <w:tcPr>
            <w:tcW w:w="9350" w:type="dxa"/>
            <w:gridSpan w:val="4"/>
          </w:tcPr>
          <w:p w:rsidR="00743BDA" w:rsidRPr="00E81E23" w:rsidRDefault="00743BDA" w:rsidP="00743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Category II: A weak recommendation supported by any quality evidence suggesting a trade-off between clinical benefits and harms.</w:t>
            </w:r>
          </w:p>
        </w:tc>
      </w:tr>
      <w:tr w:rsidR="00E625AC" w:rsidRPr="00C20E53" w:rsidTr="00E81E23">
        <w:tc>
          <w:tcPr>
            <w:tcW w:w="4960" w:type="dxa"/>
          </w:tcPr>
          <w:p w:rsidR="00E625AC" w:rsidRPr="00C20E53" w:rsidRDefault="00E625AC" w:rsidP="0034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335" w:type="dxa"/>
          </w:tcPr>
          <w:p w:rsidR="00E625AC" w:rsidRPr="00C20E53" w:rsidRDefault="00AE543F" w:rsidP="00FB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Validated In Place</w:t>
            </w:r>
          </w:p>
        </w:tc>
        <w:tc>
          <w:tcPr>
            <w:tcW w:w="1530" w:type="dxa"/>
          </w:tcPr>
          <w:p w:rsidR="00E625AC" w:rsidRPr="00C20E53" w:rsidRDefault="00AE543F" w:rsidP="00344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Working Towards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Standard</w:t>
            </w:r>
          </w:p>
        </w:tc>
        <w:tc>
          <w:tcPr>
            <w:tcW w:w="1525" w:type="dxa"/>
          </w:tcPr>
          <w:p w:rsidR="00E625AC" w:rsidRPr="00C20E53" w:rsidRDefault="00AE543F" w:rsidP="00E62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not Implement</w:t>
            </w:r>
          </w:p>
        </w:tc>
      </w:tr>
      <w:tr w:rsidR="00E625AC" w:rsidRPr="00C20E53" w:rsidTr="00E81E23">
        <w:tc>
          <w:tcPr>
            <w:tcW w:w="4960" w:type="dxa"/>
          </w:tcPr>
          <w:p w:rsidR="00E625AC" w:rsidRDefault="00E625AC" w:rsidP="00344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Application of autologous platelet-rich plasma is not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ecessary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for the prevention of SSI.</w:t>
            </w:r>
          </w:p>
          <w:p w:rsidR="001B170F" w:rsidRPr="00C20E53" w:rsidRDefault="0062264B" w:rsidP="00344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1B170F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</w:p>
        </w:tc>
        <w:tc>
          <w:tcPr>
            <w:tcW w:w="133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625AC" w:rsidRPr="00C20E53" w:rsidTr="00E81E23">
        <w:tc>
          <w:tcPr>
            <w:tcW w:w="4960" w:type="dxa"/>
          </w:tcPr>
          <w:p w:rsidR="00E625AC" w:rsidRDefault="00E625AC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Consider the use of triclosan-co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ated sutures for the prevention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of SSI.</w:t>
            </w:r>
          </w:p>
          <w:p w:rsidR="001B170F" w:rsidRPr="00295B41" w:rsidRDefault="0062264B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1B170F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</w:p>
        </w:tc>
        <w:tc>
          <w:tcPr>
            <w:tcW w:w="133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625AC" w:rsidRPr="00C20E53" w:rsidTr="00E81E23">
        <w:tc>
          <w:tcPr>
            <w:tcW w:w="4960" w:type="dxa"/>
          </w:tcPr>
          <w:p w:rsidR="00E625AC" w:rsidRDefault="00E625AC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Application of a microbial sealant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mmediately after intraoperative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skin preparation is not necessary for the prevention of SSI.</w:t>
            </w:r>
          </w:p>
          <w:p w:rsidR="00F155BE" w:rsidRPr="00295B41" w:rsidRDefault="00F155BE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</w:p>
        </w:tc>
        <w:tc>
          <w:tcPr>
            <w:tcW w:w="133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625AC" w:rsidRPr="00C20E53" w:rsidTr="00E81E23">
        <w:tc>
          <w:tcPr>
            <w:tcW w:w="4960" w:type="dxa"/>
          </w:tcPr>
          <w:p w:rsidR="00E625AC" w:rsidRDefault="00E625AC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The use of plastic adhesive drape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with or without antimicrobial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properties is not necessary for the prevention of SSI.</w:t>
            </w:r>
          </w:p>
          <w:p w:rsidR="00F155BE" w:rsidRPr="00295B41" w:rsidRDefault="0062264B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r w:rsidR="00F155BE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</w:p>
        </w:tc>
        <w:tc>
          <w:tcPr>
            <w:tcW w:w="133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625AC" w:rsidRPr="00C20E53" w:rsidTr="00E81E23">
        <w:tc>
          <w:tcPr>
            <w:tcW w:w="4960" w:type="dxa"/>
          </w:tcPr>
          <w:p w:rsidR="00E625AC" w:rsidRDefault="00E625AC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 xml:space="preserve">Consider intraoperative irrigation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deep or subcutaneous tissues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with aqueous iodophor solution for the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vention of SSI. Intraperitoneal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lavage with aqueous 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dophor solution in contaminated </w:t>
            </w:r>
            <w:r w:rsidRPr="00C20E53">
              <w:rPr>
                <w:rFonts w:ascii="Times New Roman" w:hAnsi="Times New Roman" w:cs="Times New Roman"/>
                <w:sz w:val="24"/>
                <w:szCs w:val="24"/>
              </w:rPr>
              <w:t>or dirty abdominal procedures is not necessary.</w:t>
            </w:r>
          </w:p>
          <w:p w:rsidR="007C09A0" w:rsidRPr="00295B41" w:rsidRDefault="0062264B" w:rsidP="0029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OldStyle-Regular" w:hAnsi="CenturyOldStyle-Regular" w:cs="CenturyOldStyle-Regular"/>
                <w:sz w:val="18"/>
                <w:szCs w:val="18"/>
              </w:rPr>
              <w:t>*</w:t>
            </w:r>
            <w:bookmarkStart w:id="0" w:name="_GoBack"/>
            <w:bookmarkEnd w:id="0"/>
            <w:r w:rsidR="007C09A0" w:rsidRPr="00BC7491">
              <w:rPr>
                <w:rFonts w:ascii="CenturyOldStyle-Regular" w:hAnsi="CenturyOldStyle-Regular" w:cs="CenturyOldStyle-Regular"/>
                <w:sz w:val="18"/>
                <w:szCs w:val="18"/>
              </w:rPr>
              <w:t>No previous mention.</w:t>
            </w:r>
          </w:p>
        </w:tc>
        <w:tc>
          <w:tcPr>
            <w:tcW w:w="133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</w:tcPr>
          <w:p w:rsidR="00E625AC" w:rsidRPr="00C20E53" w:rsidRDefault="00E625AC" w:rsidP="00743B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D22AA1" w:rsidRPr="00C20E53" w:rsidTr="00746DD9">
        <w:tc>
          <w:tcPr>
            <w:tcW w:w="9350" w:type="dxa"/>
            <w:gridSpan w:val="4"/>
          </w:tcPr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AA1">
              <w:rPr>
                <w:rFonts w:ascii="Times New Roman" w:hAnsi="Times New Roman" w:cs="Times New Roman"/>
                <w:sz w:val="24"/>
                <w:szCs w:val="24"/>
              </w:rPr>
              <w:t xml:space="preserve">Comment: </w:t>
            </w: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A1" w:rsidRPr="00D22AA1" w:rsidRDefault="00D22AA1" w:rsidP="00D22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192" w:rsidRPr="00C20E53" w:rsidRDefault="00E31192" w:rsidP="00E31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E31192" w:rsidRPr="00C20E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99" w:rsidRDefault="00C73A99" w:rsidP="00C73A99">
      <w:pPr>
        <w:spacing w:after="0" w:line="240" w:lineRule="auto"/>
      </w:pPr>
      <w:r>
        <w:separator/>
      </w:r>
    </w:p>
  </w:endnote>
  <w:endnote w:type="continuationSeparator" w:id="0">
    <w:p w:rsidR="00C73A99" w:rsidRDefault="00C73A99" w:rsidP="00C7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EgypG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99" w:rsidRPr="008A58CC" w:rsidRDefault="00C73A99" w:rsidP="00C73A99">
    <w:pPr>
      <w:autoSpaceDE w:val="0"/>
      <w:autoSpaceDN w:val="0"/>
      <w:adjustRightInd w:val="0"/>
      <w:spacing w:after="0" w:line="240" w:lineRule="auto"/>
      <w:jc w:val="center"/>
      <w:rPr>
        <w:rFonts w:ascii="CenturyOldStyle-Regular" w:hAnsi="CenturyOldStyle-Regular" w:cs="CenturyOldStyle-Regular"/>
        <w:sz w:val="18"/>
        <w:szCs w:val="18"/>
      </w:rPr>
    </w:pPr>
    <w:r>
      <w:rPr>
        <w:rFonts w:ascii="CenturyOldStyle-Regular" w:hAnsi="CenturyOldStyle-Regular" w:cs="CenturyOldStyle-Regular"/>
        <w:sz w:val="18"/>
        <w:szCs w:val="18"/>
      </w:rPr>
      <w:t>*1999 guideline</w:t>
    </w:r>
  </w:p>
  <w:p w:rsidR="00C73A99" w:rsidRDefault="00C73A9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2264B" w:rsidRPr="0062264B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99" w:rsidRDefault="00C73A99" w:rsidP="00C73A99">
      <w:pPr>
        <w:spacing w:after="0" w:line="240" w:lineRule="auto"/>
      </w:pPr>
      <w:r>
        <w:separator/>
      </w:r>
    </w:p>
  </w:footnote>
  <w:footnote w:type="continuationSeparator" w:id="0">
    <w:p w:rsidR="00C73A99" w:rsidRDefault="00C73A99" w:rsidP="00C7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E"/>
    <w:rsid w:val="00016EE8"/>
    <w:rsid w:val="000232A1"/>
    <w:rsid w:val="00134B80"/>
    <w:rsid w:val="001B170F"/>
    <w:rsid w:val="00221781"/>
    <w:rsid w:val="00274360"/>
    <w:rsid w:val="00295B41"/>
    <w:rsid w:val="003434A9"/>
    <w:rsid w:val="00344812"/>
    <w:rsid w:val="004728BE"/>
    <w:rsid w:val="004C6B13"/>
    <w:rsid w:val="004E7545"/>
    <w:rsid w:val="0062264B"/>
    <w:rsid w:val="00647C0A"/>
    <w:rsid w:val="006B4B3B"/>
    <w:rsid w:val="006E771F"/>
    <w:rsid w:val="006F599D"/>
    <w:rsid w:val="00743BDA"/>
    <w:rsid w:val="007512E3"/>
    <w:rsid w:val="007C09A0"/>
    <w:rsid w:val="007E4BB5"/>
    <w:rsid w:val="008A58CC"/>
    <w:rsid w:val="008E18D7"/>
    <w:rsid w:val="0092218F"/>
    <w:rsid w:val="00AB0B2A"/>
    <w:rsid w:val="00AE543F"/>
    <w:rsid w:val="00B8540A"/>
    <w:rsid w:val="00BC7491"/>
    <w:rsid w:val="00BF7038"/>
    <w:rsid w:val="00C20E53"/>
    <w:rsid w:val="00C73A99"/>
    <w:rsid w:val="00CD1314"/>
    <w:rsid w:val="00D22AA1"/>
    <w:rsid w:val="00D93FF7"/>
    <w:rsid w:val="00E31192"/>
    <w:rsid w:val="00E625AC"/>
    <w:rsid w:val="00E81E23"/>
    <w:rsid w:val="00EC4950"/>
    <w:rsid w:val="00F155BE"/>
    <w:rsid w:val="00FB0275"/>
    <w:rsid w:val="00FD71A0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BF373-4583-452D-BC15-45907DC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99"/>
  </w:style>
  <w:style w:type="paragraph" w:styleId="Footer">
    <w:name w:val="footer"/>
    <w:basedOn w:val="Normal"/>
    <w:link w:val="FooterChar"/>
    <w:uiPriority w:val="99"/>
    <w:unhideWhenUsed/>
    <w:rsid w:val="00C7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5FB90790E84AA674753A3292FACF" ma:contentTypeVersion="8" ma:contentTypeDescription="Create a new document." ma:contentTypeScope="" ma:versionID="76140ee3d72cace4ca8788b75c2430b4">
  <xsd:schema xmlns:xsd="http://www.w3.org/2001/XMLSchema" xmlns:xs="http://www.w3.org/2001/XMLSchema" xmlns:p="http://schemas.microsoft.com/office/2006/metadata/properties" xmlns:ns2="68d4746f-2889-4693-8ad9-118825a8574a" xmlns:ns3="577b82b2-26d1-4833-b1df-507eb2df9586" targetNamespace="http://schemas.microsoft.com/office/2006/metadata/properties" ma:root="true" ma:fieldsID="e4f5718243453ef4b67e161a4dfb91ce" ns2:_="" ns3:_="">
    <xsd:import namespace="68d4746f-2889-4693-8ad9-118825a8574a"/>
    <xsd:import namespace="577b82b2-26d1-4833-b1df-507eb2df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746f-2889-4693-8ad9-118825a8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82b2-26d1-4833-b1df-507eb2df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814C8-CCC9-4466-8744-A475C628975F}"/>
</file>

<file path=customXml/itemProps2.xml><?xml version="1.0" encoding="utf-8"?>
<ds:datastoreItem xmlns:ds="http://schemas.openxmlformats.org/officeDocument/2006/customXml" ds:itemID="{3507E8F2-400F-43BC-A486-8B4B7861A412}"/>
</file>

<file path=customXml/itemProps3.xml><?xml version="1.0" encoding="utf-8"?>
<ds:datastoreItem xmlns:ds="http://schemas.openxmlformats.org/officeDocument/2006/customXml" ds:itemID="{43D2DF0A-8BF7-4063-B46A-F7457BF68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DeAnn</dc:creator>
  <cp:keywords/>
  <dc:description/>
  <cp:lastModifiedBy>Richards, DeAnn</cp:lastModifiedBy>
  <cp:revision>4</cp:revision>
  <dcterms:created xsi:type="dcterms:W3CDTF">2017-08-04T16:29:00Z</dcterms:created>
  <dcterms:modified xsi:type="dcterms:W3CDTF">2017-08-09T14:25:00Z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0x010100FA325FB90790E84AA674753A3292FACF</vt:lpwstr>
  </property>
  <property fmtid="{D5CDD505-2E9C-101B-9397-08002B2CF9AE}" pid="3" name="Order">
    <vt:r8>3961200</vt:r8>
  </property>
</Properties>
</file>